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Product Description Template</w:t>
      </w:r>
    </w:p>
    <w:p>
      <w:pPr>
        <w:pStyle w:val="Quote"/>
      </w:pPr>
      <w:r>
        <w:t xml:space="preserve">From Dazzle Commerce - dazzlecommerce.com/resources/templates/product-description-template/</w:t>
      </w:r>
    </w:p>
    <w:p>
      <w:r>
        <w:t xml:space="preserve">This is a working template. Replace every square-bracketed prompt with your own content and delete the guidance in italics as you go. It is structured in the order a shopper reads, which is not the order most brands write in.</w:t>
      </w:r>
    </w:p>
    <w:p>
      <w:pPr>
        <w:pStyle w:val="Heading2"/>
      </w:pPr>
      <w:r>
        <w:t xml:space="preserve">Before you write</w:t>
      </w:r>
    </w:p>
    <w:p>
      <w:r>
        <w:t xml:space="preserve">Answer these three questions in one sentence each. If you cannot, the description will not land, because you are still guessing what the customer needs to know.</w:t>
      </w:r>
    </w:p>
    <w:p>
      <w:pPr>
        <w:pStyle w:val="Bullet"/>
      </w:pPr>
      <w:r>
        <w:t xml:space="preserve">•  Who is this product for, specifically, and who is it not for?</w:t>
      </w:r>
    </w:p>
    <w:p>
      <w:pPr>
        <w:pStyle w:val="Bullet"/>
      </w:pPr>
      <w:r>
        <w:t xml:space="preserve">•  What is the single question that stops somebody buying it?</w:t>
      </w:r>
    </w:p>
    <w:p>
      <w:pPr>
        <w:pStyle w:val="Bullet"/>
      </w:pPr>
      <w:r>
        <w:t xml:space="preserve">•  What do the negative reviews or returns say about this product or its category?</w:t>
      </w:r>
    </w:p>
    <w:p>
      <w:pPr>
        <w:pStyle w:val="Quote"/>
      </w:pPr>
      <w:r>
        <w:t xml:space="preserve">Return reasons are the cheapest product research you will ever do, and you already own them.</w:t>
      </w:r>
    </w:p>
    <w:p>
      <w:pPr>
        <w:pStyle w:val="Heading2"/>
      </w:pPr>
      <w:r>
        <w:t xml:space="preserve">1. Product title</w:t>
      </w:r>
    </w:p>
    <w:p>
      <w:r>
        <w:t xml:space="preserve">[Product name] + [defining attribute] + [variant or size]</w:t>
      </w:r>
    </w:p>
    <w:p>
      <w:pPr>
        <w:pStyle w:val="Quote"/>
      </w:pPr>
      <w:r>
        <w:t xml:space="preserve">Lead with what the thing is, not with the brand. Shoppers scan for the product; they already know which site they are on.</w:t>
      </w:r>
    </w:p>
    <w:p>
      <w:pPr>
        <w:pStyle w:val="Heading2"/>
      </w:pPr>
      <w:r>
        <w:t xml:space="preserve">2. Opening line</w:t>
      </w:r>
    </w:p>
    <w:p>
      <w:r>
        <w:t xml:space="preserve">[One sentence stating what this is and who it suits.]</w:t>
      </w:r>
    </w:p>
    <w:p>
      <w:pPr>
        <w:pStyle w:val="Quote"/>
      </w:pPr>
      <w:r>
        <w:t xml:space="preserve">This sentence does the work of the whole page for anyone who reads nothing else. Write it last, after the rest is drafted.</w:t>
      </w:r>
    </w:p>
    <w:p>
      <w:pPr>
        <w:pStyle w:val="Heading2"/>
      </w:pPr>
      <w:r>
        <w:t xml:space="preserve">3. The benefit paragraph</w:t>
      </w:r>
    </w:p>
    <w:p>
      <w:r>
        <w:t xml:space="preserve">[Two or three sentences on the problem it solves, with the specification that proves the claim.]</w:t>
      </w:r>
    </w:p>
    <w:p>
      <w:pPr>
        <w:pStyle w:val="Quote"/>
      </w:pPr>
      <w:r>
        <w:t xml:space="preserve">Every claim needs its evidence attached. Long lasting means nothing; long lasting because it holds 4,000mAh means something and can be checked.</w:t>
      </w:r>
    </w:p>
    <w:p>
      <w:pPr>
        <w:pStyle w:val="Heading2"/>
      </w:pPr>
      <w:r>
        <w:t xml:space="preserve">4. Specification</w:t>
      </w:r>
    </w:p>
    <w:p>
      <w:r>
        <w:t xml:space="preserve">Fill every row that applies. Blank specification fields remove you from filters, comparison modules and increasingly from the answers AI assistants give.</w:t>
      </w:r>
    </w:p>
    <w:tbl>
      <w:tblPr>
        <w:tblStyle w:val="TableGrid"/>
        <w:tblW w:w="5000" w:type="pct"/>
        <w:tblBorders>
          <w:top w:val="single" w:sz="4" w:color="D9E1EE"/>
          <w:left w:val="single" w:sz="4" w:color="D9E1EE"/>
          <w:bottom w:val="single" w:sz="4" w:color="D9E1EE"/>
          <w:right w:val="single" w:sz="4" w:color="D9E1EE"/>
          <w:insideH w:val="single" w:sz="4" w:color="D9E1EE"/>
          <w:insideV w:val="single" w:sz="4" w:color="D9E1EE"/>
        </w:tblBorders>
      </w:tblPr>
      <w:tr>
        <w:tc>
          <w:tcPr>
            <w:shd w:val="clear" w:color="auto" w:fill="091325"/>
          </w:tcPr>
          <w:p>
            <w:r>
              <w:rPr>
                <w:b/>
                <w:color w:val="FFFFFF"/>
              </w:rPr>
              <w:t xml:space="preserve">Attribute</w:t>
            </w:r>
          </w:p>
        </w:tc>
        <w:tc>
          <w:tcPr>
            <w:shd w:val="clear" w:color="auto" w:fill="091325"/>
          </w:tcPr>
          <w:p>
            <w:r>
              <w:rPr>
                <w:b/>
                <w:color w:val="FFFFFF"/>
              </w:rPr>
              <w:t xml:space="preserve">Value</w:t>
            </w:r>
          </w:p>
        </w:tc>
        <w:tc>
          <w:tcPr>
            <w:shd w:val="clear" w:color="auto" w:fill="091325"/>
          </w:tcPr>
          <w:p>
            <w:r>
              <w:rPr>
                <w:b/>
                <w:color w:val="FFFFFF"/>
              </w:rPr>
              <w:t xml:space="preserve">Why a shopper cares</w:t>
            </w:r>
          </w:p>
        </w:tc>
      </w:tr>
      <w:tr>
        <w:tc>
          <w:tcPr/>
          <w:p>
            <w:r>
              <w:t xml:space="preserve">Dimensions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The most common unanswered pre-purchase question</w:t>
            </w:r>
          </w:p>
        </w:tc>
      </w:tr>
      <w:tr>
        <w:tc>
          <w:tcPr/>
          <w:p>
            <w:r>
              <w:t xml:space="preserve">Weight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Affects shipping cost and perceived quality</w:t>
            </w:r>
          </w:p>
        </w:tc>
      </w:tr>
      <w:tr>
        <w:tc>
          <w:tcPr/>
          <w:p>
            <w:r>
              <w:t xml:space="preserve">Material / composition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Drives both purchase and return decisions</w:t>
            </w:r>
          </w:p>
        </w:tc>
      </w:tr>
      <w:tr>
        <w:tc>
          <w:tcPr/>
          <w:p>
            <w:r>
              <w:t xml:space="preserve">Capacity / size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Where sizing errors become returns</w:t>
            </w:r>
          </w:p>
        </w:tc>
      </w:tr>
      <w:tr>
        <w:tc>
          <w:tcPr/>
          <w:p>
            <w:r>
              <w:t xml:space="preserve">Compatibility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Critical in parts, accessories and electronics</w:t>
            </w:r>
          </w:p>
        </w:tc>
      </w:tr>
      <w:tr>
        <w:tc>
          <w:tcPr/>
          <w:p>
            <w:r>
              <w:t xml:space="preserve">Care instructions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Reduces post-purchase support contacts</w:t>
            </w:r>
          </w:p>
        </w:tc>
      </w:tr>
      <w:tr>
        <w:tc>
          <w:tcPr/>
          <w:p>
            <w:r>
              <w:t xml:space="preserve">Warranty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A trust signal at higher price points</w:t>
            </w:r>
          </w:p>
        </w:tc>
      </w:tr>
      <w:tr>
        <w:tc>
          <w:tcPr/>
          <w:p>
            <w:r>
              <w:t xml:space="preserve">Country of origin</w:t>
            </w:r>
          </w:p>
        </w:tc>
        <w:tc>
          <w:tcPr/>
          <w:p>
            <w:r>
              <w:t xml:space="preserve">[value]</w:t>
            </w:r>
          </w:p>
        </w:tc>
        <w:tc>
          <w:tcPr/>
          <w:p>
            <w:r>
              <w:t xml:space="preserve">Matters in some categories, ignore in others</w:t>
            </w:r>
          </w:p>
        </w:tc>
      </w:tr>
    </w:tbl>
    <w:p/>
    <w:p>
      <w:pPr>
        <w:pStyle w:val="Heading2"/>
      </w:pPr>
      <w:r>
        <w:t xml:space="preserve">5. What is in the box</w:t>
      </w:r>
    </w:p>
    <w:p>
      <w:pPr>
        <w:pStyle w:val="Bullet"/>
      </w:pPr>
      <w:r>
        <w:t xml:space="preserve">•  [Item one]</w:t>
      </w:r>
    </w:p>
    <w:p>
      <w:pPr>
        <w:pStyle w:val="Bullet"/>
      </w:pPr>
      <w:r>
        <w:t xml:space="preserve">•  [Item two]</w:t>
      </w:r>
    </w:p>
    <w:p>
      <w:pPr>
        <w:pStyle w:val="Bullet"/>
      </w:pPr>
      <w:r>
        <w:t xml:space="preserve">•  [Item three]</w:t>
      </w:r>
    </w:p>
    <w:p>
      <w:pPr>
        <w:pStyle w:val="Quote"/>
      </w:pPr>
      <w:r>
        <w:t xml:space="preserve">Omitting this creates support tickets and one-star reviews about things that were never missing.</w:t>
      </w:r>
    </w:p>
    <w:p>
      <w:pPr>
        <w:pStyle w:val="Heading2"/>
      </w:pPr>
      <w:r>
        <w:t xml:space="preserve">6. The objection section</w:t>
      </w:r>
    </w:p>
    <w:p>
      <w:r>
        <w:t xml:space="preserve">[Answer the single question that stops people buying. State it plainly rather than avoiding it.]</w:t>
      </w:r>
    </w:p>
    <w:p>
      <w:pPr>
        <w:pStyle w:val="Quote"/>
      </w:pPr>
      <w:r>
        <w:t xml:space="preserve">Addressing the obvious doubt head on converts better than pretending it does not exist. Shoppers are already thinking it.</w:t>
      </w:r>
    </w:p>
    <w:p>
      <w:pPr>
        <w:pStyle w:val="Heading2"/>
      </w:pPr>
      <w:r>
        <w:t xml:space="preserve">7. Delivery and returns</w:t>
      </w:r>
    </w:p>
    <w:p>
      <w:r>
        <w:t xml:space="preserve">[Delivery window] | [Delivery cost or threshold] | [Returns window and conditions]</w:t>
      </w:r>
    </w:p>
    <w:p>
      <w:pPr>
        <w:pStyle w:val="Quote"/>
      </w:pPr>
      <w:r>
        <w:t xml:space="preserve">Stating these near the buying decision, rather than only in a policy page, is one of the highest-value changes available on most product pages.</w:t>
      </w:r>
    </w:p>
    <w:p>
      <w:pPr>
        <w:pStyle w:val="Heading2"/>
      </w:pPr>
      <w:r>
        <w:t xml:space="preserve">8. SEO fields</w:t>
      </w:r>
    </w:p>
    <w:tbl>
      <w:tblPr>
        <w:tblStyle w:val="TableGrid"/>
        <w:tblW w:w="5000" w:type="pct"/>
        <w:tblBorders>
          <w:top w:val="single" w:sz="4" w:color="D9E1EE"/>
          <w:left w:val="single" w:sz="4" w:color="D9E1EE"/>
          <w:bottom w:val="single" w:sz="4" w:color="D9E1EE"/>
          <w:right w:val="single" w:sz="4" w:color="D9E1EE"/>
          <w:insideH w:val="single" w:sz="4" w:color="D9E1EE"/>
          <w:insideV w:val="single" w:sz="4" w:color="D9E1EE"/>
        </w:tblBorders>
      </w:tblPr>
      <w:tr>
        <w:tc>
          <w:tcPr>
            <w:shd w:val="clear" w:color="auto" w:fill="091325"/>
          </w:tcPr>
          <w:p>
            <w:r>
              <w:rPr>
                <w:b/>
                <w:color w:val="FFFFFF"/>
              </w:rPr>
              <w:t xml:space="preserve">Field</w:t>
            </w:r>
          </w:p>
        </w:tc>
        <w:tc>
          <w:tcPr>
            <w:shd w:val="clear" w:color="auto" w:fill="091325"/>
          </w:tcPr>
          <w:p>
            <w:r>
              <w:rPr>
                <w:b/>
                <w:color w:val="FFFFFF"/>
              </w:rPr>
              <w:t xml:space="preserve">Guidance</w:t>
            </w:r>
          </w:p>
        </w:tc>
        <w:tc>
          <w:tcPr>
            <w:shd w:val="clear" w:color="auto" w:fill="091325"/>
          </w:tcPr>
          <w:p>
            <w:r>
              <w:rPr>
                <w:b/>
                <w:color w:val="FFFFFF"/>
              </w:rPr>
              <w:t xml:space="preserve">Your version</w:t>
            </w:r>
          </w:p>
        </w:tc>
      </w:tr>
      <w:tr>
        <w:tc>
          <w:tcPr/>
          <w:p>
            <w:r>
              <w:t xml:space="preserve">Primary keyword</w:t>
            </w:r>
          </w:p>
        </w:tc>
        <w:tc>
          <w:tcPr/>
          <w:p>
            <w:r>
              <w:t xml:space="preserve">One per page. If another page targets it, one of them is wrong.</w:t>
            </w:r>
          </w:p>
        </w:tc>
        <w:tc>
          <w:tcPr/>
          <w:p>
            <w:r>
              <w:t xml:space="preserve">[value]</w:t>
            </w:r>
          </w:p>
        </w:tc>
      </w:tr>
      <w:tr>
        <w:tc>
          <w:tcPr/>
          <w:p>
            <w:r>
              <w:t xml:space="preserve">Meta title</w:t>
            </w:r>
          </w:p>
        </w:tc>
        <w:tc>
          <w:tcPr/>
          <w:p>
            <w:r>
              <w:t xml:space="preserve">Product + defining attribute + brand. Aim under 60 characters.</w:t>
            </w:r>
          </w:p>
        </w:tc>
        <w:tc>
          <w:tcPr/>
          <w:p>
            <w:r>
              <w:t xml:space="preserve">[value]</w:t>
            </w:r>
          </w:p>
        </w:tc>
      </w:tr>
      <w:tr>
        <w:tc>
          <w:tcPr/>
          <w:p>
            <w:r>
              <w:t xml:space="preserve">Meta description</w:t>
            </w:r>
          </w:p>
        </w:tc>
        <w:tc>
          <w:tcPr/>
          <w:p>
            <w:r>
              <w:t xml:space="preserve">120 to 160 characters. Write it to earn the click, not to repeat the title.</w:t>
            </w:r>
          </w:p>
        </w:tc>
        <w:tc>
          <w:tcPr/>
          <w:p>
            <w:r>
              <w:t xml:space="preserve">[value]</w:t>
            </w:r>
          </w:p>
        </w:tc>
      </w:tr>
      <w:tr>
        <w:tc>
          <w:tcPr/>
          <w:p>
            <w:r>
              <w:t xml:space="preserve">Image alt text</w:t>
            </w:r>
          </w:p>
        </w:tc>
        <w:tc>
          <w:tcPr/>
          <w:p>
            <w:r>
              <w:t xml:space="preserve">Describe the image for somebody who cannot see it.</w:t>
            </w:r>
          </w:p>
        </w:tc>
        <w:tc>
          <w:tcPr/>
          <w:p>
            <w:r>
              <w:t xml:space="preserve">[value]</w:t>
            </w:r>
          </w:p>
        </w:tc>
      </w:tr>
      <w:tr>
        <w:tc>
          <w:tcPr/>
          <w:p>
            <w:r>
              <w:t xml:space="preserve">URL slug</w:t>
            </w:r>
          </w:p>
        </w:tc>
        <w:tc>
          <w:tcPr/>
          <w:p>
            <w:r>
              <w:t xml:space="preserve">Short, readable, no dates or SKUs.</w:t>
            </w:r>
          </w:p>
        </w:tc>
        <w:tc>
          <w:tcPr/>
          <w:p>
            <w:r>
              <w:t xml:space="preserve">[value]</w:t>
            </w:r>
          </w:p>
        </w:tc>
      </w:tr>
    </w:tbl>
    <w:p/>
    <w:p>
      <w:pPr>
        <w:pStyle w:val="Heading2"/>
      </w:pPr>
      <w:r>
        <w:t xml:space="preserve">9. Quality check before publishing</w:t>
      </w:r>
    </w:p>
    <w:p>
      <w:pPr>
        <w:pStyle w:val="Bullet"/>
      </w:pPr>
      <w:r>
        <w:t xml:space="preserve">•  Does the first screen on a phone answer what it is, what it costs and when it arrives?</w:t>
      </w:r>
    </w:p>
    <w:p>
      <w:pPr>
        <w:pStyle w:val="Bullet"/>
      </w:pPr>
      <w:r>
        <w:t xml:space="preserve">•  Is every claim attached to something verifiable?</w:t>
      </w:r>
    </w:p>
    <w:p>
      <w:pPr>
        <w:pStyle w:val="Bullet"/>
      </w:pPr>
      <w:r>
        <w:t xml:space="preserve">•  Is any of this copy identical to the supplier text used by other retailers?</w:t>
      </w:r>
    </w:p>
    <w:p>
      <w:pPr>
        <w:pStyle w:val="Bullet"/>
      </w:pPr>
      <w:r>
        <w:t xml:space="preserve">•  Would somebody who has never seen the product understand its size?</w:t>
      </w:r>
    </w:p>
    <w:p>
      <w:pPr>
        <w:pStyle w:val="Bullet"/>
      </w:pPr>
      <w:r>
        <w:t xml:space="preserve">•  Does it answer the top three questions your support team receives?</w:t>
      </w:r>
    </w:p>
    <w:p/>
    <w:p>
      <w:pPr>
        <w:pStyle w:val="Quote"/>
      </w:pPr>
      <w:r>
        <w:t xml:space="preserve">More on what actually moves conversion on a product page: dazzlecommerce.com/nine-product-page-elements-that-move-conversion/</w:t>
      </w:r>
    </w:p>
    <w:sectPr>
      <w:pgSz w:w="11906" w:h="16838"/>
      <w:pgMar w:top="1134" w:right="1134" w:bottom="1134" w:left="1134" w:header="709" w:footer="709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color w:val="1B2437"/>
        <w:sz w:val="22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paragraph" w:styleId="Heading1">
    <w:name w:val="heading 1"/>
    <w:basedOn w:val="Normal"/>
    <w:qFormat/>
    <w:pPr>
      <w:spacing w:before="0" w:after="120"/>
      <w:keepNext/>
    </w:pPr>
    <w:rPr>
      <w:b/>
      <w:color w:val="091325"/>
      <w:sz w:val="40"/>
    </w:rPr>
  </w:style>
  <w:style w:type="paragraph" w:styleId="Heading2">
    <w:name w:val="heading 2"/>
    <w:basedOn w:val="Normal"/>
    <w:qFormat/>
    <w:pPr>
      <w:spacing w:before="320" w:after="120"/>
      <w:keepNext/>
    </w:pPr>
    <w:rPr>
      <w:b/>
      <w:color w:val="091325"/>
      <w:sz w:val="30"/>
    </w:rPr>
  </w:style>
  <w:style w:type="paragraph" w:styleId="Heading3">
    <w:name w:val="heading 3"/>
    <w:basedOn w:val="Normal"/>
    <w:qFormat/>
    <w:pPr>
      <w:spacing w:before="240" w:after="120"/>
      <w:keepNext/>
    </w:pPr>
    <w:rPr>
      <w:b/>
      <w:color w:val="0A4ED4"/>
      <w:sz w:val="24"/>
    </w:rPr>
  </w:style>
  <w:style w:type="paragraph" w:styleId="Quote">
    <w:name w:val="Quote"/>
    <w:basedOn w:val="Normal"/>
    <w:pPr>
      <w:ind w:left="360"/>
      <w:spacing w:after="160"/>
    </w:pPr>
    <w:rPr>
      <w:i/>
      <w:color w:val="6B7280"/>
    </w:rPr>
  </w:style>
  <w:style w:type="paragraph" w:styleId="Bullet">
    <w:name w:val="Bullet"/>
    <w:basedOn w:val="Normal"/>
    <w:pPr>
      <w:ind w:left="360" w:hanging="180"/>
      <w:spacing w:after="80"/>
    </w:pPr>
  </w:style>
  <w:style w:type="table" w:styleId="TableGrid">
    <w:name w:val="Table Grid"/>
    <w:tblPr>
      <w:tblCellMar>
        <w:top w:w="80" w:type="dxa"/>
        <w:left w:w="120" w:type="dxa"/>
        <w:bottom w:w="80" w:type="dxa"/>
        <w:right w:w="120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